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34 vom 17. September 2024</w:t>
      </w:r>
    </w:p>
    <w:p>
      <w:r>
        <w:t>VS Kantonsgericht, 2024-09-17, DE</w:t>
      </w:r>
    </w:p>
    <w:p>
      <w:r>
        <w:rPr>
          <w:b/>
        </w:rPr>
        <w:t xml:space="preserve">Quelle: </w:t>
      </w:r>
      <w:r>
        <w:t>https://mcp.opencaselaw.ch/entscheid/vs_gerichte_S1 24 34</w:t>
      </w:r>
    </w:p>
    <w:p>
      <w:r>
        <w:t>FR: VS_GERICHTE S1 24 34 du 17 septembre 2024</w:t>
      </w:r>
    </w:p>
    <w:p>
      <w:r>
        <w:t>IT: VS_GERICHTE S1 24 34 del 17 settembre 2024</w:t>
      </w:r>
    </w:p>
    <w:p>
      <w:pPr>
        <w:pStyle w:val="Heading2"/>
      </w:pPr>
      <w:r>
        <w:t>Regeste</w:t>
      </w:r>
    </w:p>
    <w:p>
      <w:r>
        <w:t>S1 24 34 URTEIL VOM 17. SEPTEMBER 2024 Kantonsgericht Wallis Sozialversicherungsrechtliche Abteilung Besetzung: Michael Steiner, Präsident; Candido Prada und Dr. Thierry Schnyder, Kantonsrichter; Renata Kreuzer, Gerichtsschreiberin in Sachen X _________, Beschwerdeführer, vertreten durch Rechtsanwalt Christian Lauri, Bern gegen KANTONALE IV-STELLE, Beschwerdegegnerin (Rentenrevision / Invaliditätsgrad) Beschwerde gegen die Verfügung vom 15. Januar 2024</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Versicherungs- gericht für die Behandlung von Beschwerden auf dem Gebiet des Sozialversicherungs- rechts zuständig ist (vgl. BGE 127 V 176 E. 2). Der Beschwerdeführer ist als Verfügungs- adressat von der Verfügung der Beschwerdegegnerin berührt und hat ein schutzwürdi- ges Interesse an deren Aufhebung oder Änderung (Art. 59 ATSG). Er ist somit zur Be- schwerde legitimiert. Auf die form- (Art. 61 lit. b ATSG) und fristgerecht (Art. 60 ATSG) eingereichte Beschwerde ist einzutreten.</w:t>
      </w:r>
    </w:p>
    <w:p>
      <w:r>
        <w:rPr>
          <w:b/>
        </w:rPr>
        <w:t>E. 2</w:t>
      </w:r>
    </w:p>
    <w:p>
      <w:r>
        <w:t>Am 1. Januar 2022 sind die geänderten Bestimmungen des ATSG, der ATSV, des IVG sowie der IVV in Kraft getreten. Entsprechend den allgemeinen intertemporalrecht- lichen Grundsätzen (BGE 146 V 364 E. 7.1, 144 V 210 E. 4.3.1, je mit Hinweisen) ist nach der bis zum 31. Dezember 2021 geltenden Rechtlage zu beurteilen, ob bis zu die- sem Zeitpunkt ein Rentenanspruch entstanden ist. Trifft dies zu, so erfolgt ein allfälliger Wechsel zum neuen stufenlosen Rentensystem je nach Alter der Rentenbezügerin oder des Rentenbezügers gemäss lit. b und c der Übergangsbestimmungen des IVG zur Än- derung vom 19. Juni 2020. Für alle Personen, deren Rentenanspruch ab dem 1. Januar 2022 entstanden ist, gilt das neue stufenlose Rentensystem. Der Beschwerdeführer hatte ab dem 1. September 2001 Anspruch auf eine halbe IV- Rente. Per 1. September 2013 wurde diese eingestellt. Am 4. Februar 2022 meldete er sich erneut zum Bezug einer Rente an und mit Verfügung vom 23. Februar 2023 wurde ihm bei einem Invaliditätsgrad von 50% eine ebensolche ab dem 1. September 2022 zugesprochen. Die Rentenrevision wurde am 7. September 2023 auf seinen Wunsch eingeleitet. Der aktuell zu beurteilende Rentenanspruch entstand somit nach Inkrafttre- ten der Änderung vom 19. Juni 2020 und somit sind in casu, unbesehen des Alters des Beschwerdeführers, die ab dem 1. Januar 2022 gültigen Bestimmungen anwendbar.</w:t>
      </w:r>
    </w:p>
    <w:p>
      <w:r>
        <w:t>- 7 -</w:t>
      </w:r>
    </w:p>
    <w:p>
      <w:r>
        <w:rPr>
          <w:b/>
        </w:rPr>
        <w:t>E. 3.1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3.2</w:t>
      </w:r>
    </w:p>
    <w:p>
      <w:r>
        <w:t>Streitig und zu prüfen ist die Frage, ob die Invalidenversicherung den Grad der Rest- arbeitsfähigkeit genügend abgeklärt und den Invaliditätsgrad unter Zugrundelegung der korrekten Vergleichseinkommen richtig ermittelt hat.</w:t>
      </w:r>
    </w:p>
    <w:p>
      <w:r>
        <w:rPr>
          <w:b/>
        </w:rPr>
        <w:t>E. 4.1</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125 V 261 E. 4; 115 V 134 E. 2).</w:t>
      </w:r>
    </w:p>
    <w:p>
      <w:r>
        <w:rPr>
          <w:b/>
        </w:rPr>
        <w:t>E. 4.2</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w:t>
      </w:r>
    </w:p>
    <w:p>
      <w:r>
        <w:t>- 8 - ben worden ist, in der Darlegung der medizinischen Zusammenhänge und in der Beur- teilung der medizinischen Situation einleuchtet und ob die Schlussfolgerungen des Ex- perten begründet sind. Ausschlaggebend für den Beweiswert ist grundsätzlich somit we- der die Herkunft eines Beweismittels noch die Bezeichnung der eingereichten oder in Auftrag gegebenen Stellungnahmen als Bericht oder Gutachten, sondern deren Inhalt (BGE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 nen ärztlichen Feststellungen, so sind ergänzende Abklärungen vorzunehmen (BGE 135 V 465 E. 4.4; Bundesgerichtsurteil 9C_495/2012 vom 4. Oktober 2012 E. 2.3).</w:t>
      </w:r>
    </w:p>
    <w:p>
      <w:r>
        <w:rPr>
          <w:b/>
        </w:rPr>
        <w:t>E. 5.1</w:t>
      </w:r>
    </w:p>
    <w:p>
      <w:r>
        <w:t>Die IV-Stelle stützte sich für die Beurteilung der Arbeitsfähigkeit auf die Berichte ihrer RAD-Ärzte. Diese erstatteten ihre Stellungnahmen in Kenntnis der sich im IV-Dos- sier befindenden Berichte der behandelnden Ärzte und kamen über die Zeit seit der Neu- anmeldung vom Februar 2022 zum Schluss, es bestehe eine 50%ige Arbeitsfähigkeit in der bisherigen, angepassten Tätigkeit. Eine rentenrelevante Veränderung des Gesund- heitszustandes wurde verneint.</w:t>
      </w:r>
    </w:p>
    <w:p>
      <w:r>
        <w:rPr>
          <w:b/>
        </w:rPr>
        <w:t>E. 5.2</w:t>
      </w:r>
    </w:p>
    <w:p>
      <w:r>
        <w:t>Der Beschwerdeführer hingegen brachte anlässlich der Rentenrevision vom Sep- tember 2023 vor, sein Gesundheitszustand habe sich verschlechtert, es liege eine The- rapieresistenz vor. Die Schmerzbehandlungen seien ausgeschöpft. Zudem bestehe der Verdacht auf eine Parkinsonerkrankung. Ebenfalls die COPD zeige eine negative Ent- wicklung. Der Hausarzt empfahl eine Begutachtung. Beschwerdeweise wurde darauf hingewiesen, dass der Beschwerdeführer zu 50% in einem Schonarbeitsplatz beschäftig sei, auf dem freien Arbeitsmarkt sei keine verwertbare Arbeitsfähigkeit mehr vorhanden.</w:t>
      </w:r>
    </w:p>
    <w:p>
      <w:r>
        <w:t>- 9 -</w:t>
      </w:r>
    </w:p>
    <w:p>
      <w:r>
        <w:rPr>
          <w:b/>
        </w:rPr>
        <w:t>E. 5.3</w:t>
      </w:r>
    </w:p>
    <w:p>
      <w:r>
        <w:t>Für das erkennende Gericht ist es nicht nachvollziehbar, aus welchem Grund der RAD-Arzt es in seinem Bericht vom 7. Dezember 2023 nicht für notwendig erachtete, auf den neu vorgebrachten Verdacht einer Parkinsonerkrankung, sowie die Therapieresis- tenz der Schmerzbehandlungen einzugehen. Auch auf den Hinweis des Hausarztes, wo- nach die Arbeitsfähigkeit noch höchstens 2 bis 4 Stunden pro Tag betrage, bzw. nicht mehr gegeben sei, ging er nicht weiter ein und stellte fest, der Gesundheitszustand habe sich nicht grundlegend verschlechtert, eine eingeschränkte Tätigkeit im Rahmen der bis- herigen Zumutbarkeit sei weiterhin möglich. Nachdem der Beschwerdeführer seine Ein- wände gegen die Mitteilung der IV-Stelle vom 11. Dezember 2023 erhoben hatte, ver- zichtete diese darauf, bezüglich der neu vorgebrachten Gangstörung beim RAD nach- zufragen. Stattdessen erliess sie bereits am 15. Januar 2024 die Verfügung, in der sie eine rentenrelevante Veränderung des Gesundheitszustandes verneinte. Erst auf die Beschwerde hin legte die IV-Stelle das Dossier erneut dem RAD-Arzt vor. Dieser nahm am 14. März 2024 Stellung (Dok. 200). Er wies auf die unterschiedlichen Angaben des Hausarztes hin, die von keiner Arbeitsfähigkeit bis zu einer solchen von 4 bis 6 Stunden in einer angepassten Tätigkeit schwankten und stellte schlussendlich fest, von hausärzt- licher Seite werde weiterhin eine angepasste Tätigkeit für 4 bis 6 Stunden als zumutbar erachtet. Die im MRI-Befund beschriebenen, älteren postischämischen Veränderungen im Thalamusbereich, könnten einen Einfluss auf den aktuellen Zustand des Versicherten haben. Dieser werde jedoch aufgrund seines klinischen Zustandes beurteilt und hier habe sich nichts Grundlegendes verändert. Der Tremor bestehe bereits seit dem Kin- desalter. Eine angepasste Tätigkeit sei weiterhin im bisherigen Rahmen zumutbar, trotz der festgestellten Stand- und Gangataxie. Aus dem Bericht der neurologischen Klinik vom 14. Februar 2024 (Dok. 194), der dem RAD-Arzt vorlag, geht hervor, dass sich anlässlich der klinischen Untersuchung mehrere Auffälligkeiten gezeigt hätten. Neben einem Tremorsyndrom mit Haltetremor und Inten- tionstremor beidseits bestehe eine deutliche sensible Stand/Gangataxie, die sich mit der ischämischen Läsion im Thalamusbereich erklären lasse. Daraus ergibt sich – entgegen der Ansicht des RAD-Arztes – eine recht hohe Wahrscheinlichkeit für eine Veränderung des klinischen Zustandes des Beschwerdeführers. Bezüglich des Tremors fällt bei Ver- gleich der Unterschriften des Beschwerdeführers im IV-Dossier auf, dass diese in der letzten Zeit deutlich zittriger geworden sind. Eine weitere Veränderung bezüglich der Therapieresistenz der chronischen Schmerzen blieb ebenfalls unabgeklärt.</w:t>
      </w:r>
    </w:p>
    <w:p>
      <w:r>
        <w:rPr>
          <w:b/>
        </w:rPr>
        <w:t>E. 5.4</w:t>
      </w:r>
    </w:p>
    <w:p>
      <w:r>
        <w:t>Aufgrund des Gesagten ist festzustellen, dass die IV-Stelle der ihr obliegenden Un- tersuchungspflicht in ungenügender Weise nachgekommen ist. Eine Rückweisung der</w:t>
      </w:r>
    </w:p>
    <w:p>
      <w:r>
        <w:t>- 10 - Sache an die Beschwerdegegnerin rechtfertigt sich, da die ungenügende Abklärung ei- nen streitigen Punkt betrifft, der im Verwaltungsverfahren vollständig ungeklärt blieb (BGE 137 V 210 E. 4.4.1.4). Für das erkennende Gericht ist es nicht möglich, über die Restarbeitsfähigkeit des Beschwerdeführers in einer optimal angepassten Tätigkeit mit dem im Sozialversicherungsrecht notwendigen Beweisgrad der überwiegenden Wahr- scheinlichkeit zu befinden. Die Beschwerde ist in dem Sinne gutzuheissen, als die Ver- fügung aufzuheben und die Sache zur Vornahme der notwendigen Abklärungen und zur Neubeurteilung an die IV-Stelle zurückzuweisen ist. Bei diesem Ausgang des Verfahrens erübrigt es sich, darüber zu befinden, ob die Inva- liditätsberechnung korrekt erfolgt ist. Es wird in diesem Zusammenhang aber auf vorste- hende E. 2 verwiesen.</w:t>
      </w:r>
    </w:p>
    <w:p>
      <w:r>
        <w:rPr>
          <w:b/>
        </w:rPr>
        <w:t>E. 6.1</w:t>
      </w:r>
    </w:p>
    <w:p>
      <w:r>
        <w:t>Die Rückweisung der Sache an die Verwaltung zu erneuter Abklärung gilt für die Frage der Auferlegung der Gerichtskosten wie auch der Parteientschädigung als vollständiges Obsiegen, unabhängig davon, ob sie beantragt oder ob das entsprechende Begehren im Haupt- oder im Eventualantrag gestellt wird (BGE 132 V 215 E. 6.1).</w:t>
      </w:r>
    </w:p>
    <w:p>
      <w:r>
        <w:rPr>
          <w:b/>
        </w:rPr>
        <w:t>E. 6.2</w:t>
      </w:r>
    </w:p>
    <w:p>
      <w:r>
        <w:t>Das Beschwerdeverfahren bei Streitigkeiten um die Bewilligung oder die Verweige- rung von IV-Leistungen vor dem Kantonsgericht ist kostenpflichtig (Art. 69 Abs. 1bis IVG). Aufgrund des Verfahrensaufwandes werden die Kosten zu Lasten der IV-Stelle auf CHF 500 festgesetzt. Der in dieser Höhe geleistete Kostenvorschuss wird dem Be- schwerdeführer zurückbezahlt.</w:t>
      </w:r>
    </w:p>
    <w:p>
      <w:r>
        <w:rPr>
          <w:b/>
        </w:rPr>
        <w:t>E. 6.3</w:t>
      </w:r>
    </w:p>
    <w:p>
      <w:r>
        <w:t>Bei diesem Ausgang des Verfahrens hat der Beschwerdeführer einen Anspruch auf Parteientschädigung, die das Gericht unter Würdigung der Bedeutung und Schwierigkeit der Streitsache, des Umstandes, des Umfangs der Arbeitsleistung, sowie der durch den Rechtstreit entstandenen Auslagen auf CHF 1’800 (inkl. Auslagen und Mehrwertsteuer) festsetzt (Art. 61 lit. g ATSG; Art. 4 GTar).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